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15" w:lineRule="auto"/>
        <w:ind w:left="0" w:leftChars="0" w:right="0" w:rightChars="0" w:firstLine="0" w:firstLineChars="0"/>
        <w:jc w:val="center"/>
        <w:textAlignment w:val="auto"/>
        <w:outlineLvl w:val="9"/>
        <w:rPr>
          <w:rFonts w:hint="eastAsia" w:ascii="微软雅黑" w:hAnsi="微软雅黑" w:eastAsia="微软雅黑" w:cs="微软雅黑"/>
          <w:b/>
          <w:bCs/>
          <w:i w:val="0"/>
          <w:caps w:val="0"/>
          <w:color w:val="222222"/>
          <w:spacing w:val="0"/>
          <w:sz w:val="24"/>
          <w:szCs w:val="24"/>
        </w:rPr>
      </w:pPr>
      <w:bookmarkStart w:id="0" w:name="_GoBack"/>
      <w:r>
        <w:rPr>
          <w:rFonts w:hint="eastAsia" w:ascii="微软雅黑" w:hAnsi="微软雅黑" w:eastAsia="微软雅黑" w:cs="微软雅黑"/>
          <w:b/>
          <w:bCs/>
          <w:i w:val="0"/>
          <w:caps w:val="0"/>
          <w:color w:val="222222"/>
          <w:spacing w:val="0"/>
          <w:sz w:val="24"/>
          <w:szCs w:val="24"/>
        </w:rPr>
        <w:t>2017年重庆特岗教师招聘考试教育理论真题</w:t>
      </w:r>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一、单选试题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1、教育的本质属性是(B)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A.阶级性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B.育人性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C.服务性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D.时代性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2、学校教育与生产劳动想脱离始于(B)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A.原始社会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B.奴隶社会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C.封建社会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D.资本主义社会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3、在教育史上，提出著名的“白板说”和绅士教育理论的学者是(B)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A.夸美纽斯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B.洛克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C.裴斯泰洛齐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D.赫尔巴特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4、以美国教育家杜威为代表的现代教育派倡导的“三中心”是指(C)</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A.儿童、教材、活动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B.教师、活动、经验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C.儿童、活动、经验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D.教师、经验、教材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5、决定着教育领导权和受教育权的主要因素是(D)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A.社会生产力和科技发展发水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B.社会人口数量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C.社会文化传统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D.社会政治经济制度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6、学校在让学生学习经典时。要注意取其精华、去其糟粕。这体现了教育的哪项文化只能?(D)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A.传递——保存文化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B.传播——文化交流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C.创造——更新文化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D.选择——提升文化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7、在影响人的身心发展的诸因素中，教育尤其是学校教育在人的身心发展中起着(D)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A.决定作用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B.动力作用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C.基础作用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D.主导作用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8、既是教育活动的出发点、也是教育活动归宿的是(C)</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A.教育方针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B.教育政策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C.教育目的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D.教育目标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9、德国教育家凯兴斯坦纳曾提出，教育的目的是“早就合格公民”。这种教育目的论属于(B)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A.个人本位论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B.社会本位论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C.集体本位论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D.教育无目的论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10、当前我国九年制义务教育血脂年限划分采用的是(A)</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A.“六三”制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B.“五四”制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C.“九年”贯制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D.多种形式并存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11、教师要具有一定的教育机智，这表明教师劳动具有(A)</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A.创造性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B.长期性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C.连续性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D.示范性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12、在中学阶段开设的语文、数学、物理、化学等课程属于(A)</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A.学科课程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B.综合课程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C.活动课程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D.社会课程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13、编写教材(教科书)的直接依据是(C)</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A.课程计划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B.课程目标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C.课程标准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D.课程说明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14、“授人以鱼仅供一饭之需:授之以渔，则终身受用无穷”。这说明教学应当着重(D)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A.传授给学生直接知识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B.突出重点、突破难点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C.及时巩固复习所学知识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D.发展学生智能、教会学生学习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15、教学工作的中心环节是(B)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A.备课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B.上课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C.作业布置与批改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D.课外辅导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16、现代学校教学的基本组织形式是(A)</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A.课堂教学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B.复试教学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C.远程教学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D.电化教学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17、能够在最短的时间内向学生呈现、介绍大量的、系统的信息的方法是(D)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A.实践法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B.谈话法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C.参观法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D.讲授法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18、王老师在历史课上讲到名族英雄岳飞时，从历史事实出发，高度赞扬了岳飞爱国主义精神，使同学们受到了感染。王老师的教学主要体现了教学的(A)</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A.科学性和思想性相统一的原则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B.直观性原则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C.启发性原则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D.因材施教原则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19、一个测验能测到预先想想测的知识和能力的程度是测验的(C)</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A.实用性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B.可信度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C.有效性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D.区分度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20、教育科研的起始环节是(C)</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A.确定研究对象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B.提出假设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C.选择课题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D.搜集资料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21.中小学行政管理中最基层的行政组织是(C)</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A.年级组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B.教研室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C.班级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D.教务处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22、课外活动最常见的组织形式是(D)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A.群众性活动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B.班级活动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C.个人活动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D.小组活动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23.“窥—斑而见全豹”，这体现了知觉的(A)</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A.整体性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B.选择性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C.理解性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D.恒常性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24、皮亚杰认为7-11岁儿童思维离不开具体事物的支持，并出现了守恒思维。这种认知发展阶段属于(C)</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A.感觉运算阶段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B.前运算阶段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C.具体运算阶段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D.形式运算阶段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25、“一俊遮百丑”这句话体现了人们在信息整合过程中具有(C)</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A.首因效应</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B.近因效应</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C.晕轮效应</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D.社会刻板印象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26、学生沿着不同的方向和角度思考，从而寻求多样性答案的思维活动属于(C)</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A.常规思维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B.聚合思维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C.发散思维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D.动作思维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27、小明聪明过人、灵活善变、善于适应新的环境。小明的气质类型是(B)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A.胆汁质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B.多血质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C.粘液质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D.抑郁质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28、下列有关气质的描述，正确的是(D)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A.气质有好坏之分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B.气质和先天遗传无关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C.气质就是性格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D.气质没有好坏之分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29、心理学研究表明：适当的过度学习能增强记忆效果，最佳过度学习的量是过度学习的(C)</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A.10%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B.30%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C.50%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D.70%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30、思维敏捷。反应迅速、对于问题能够迅速做出反应。这体现了创造性思维的(B)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A.敏感性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B.流畅性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C.东擦性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D.独创性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31、学生用原有已证明有效的方法解决新问题。可能会阻碍该问题的解决，这种心理现象(A)</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A.心理定势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B.功能固着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C.原型启发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D.创造性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32、根据耶克斯—多徳森定律，学生的学习动机和效果的关系是(C)</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A.正比关系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B.反比关系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C.倒U曲线的关系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D.正U曲线的关系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33、教师看到教师整洁干净、就知道学生已经做过大扫除了。这种心理现象是(A)</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A.感觉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B.直觉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C.思维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D.记忆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34、有的学生看书能够“一目十行”，这体现的注意品是(A)</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A.注意的广度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B.注意的稳定性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C.注意的分配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D.注意的转移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35、下列各种能力中，属于特殊能力的是(C)</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A.记忆能力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B.观察能力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C.绘画能力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D.思维能力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36、学生打完电话后马上忘记电话号码。这种记忆是(B)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A.暂时记忆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B.短时记忆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C.感觉记忆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D.长时记忆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37、“鹤立鸡群”中的“鹤”容易引起人们的无意注意，说明人的无意注意容易受到(B)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A.刺激物的强度的影响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B.刺激物的对比关系的影响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C.刺激物的运动变化的影响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D.刺激物的新异性的影响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38、4岁的小红知道小美是自己的哥哥。但却不知道自己是小明的妹妹，这种现象体现了儿童思维具有(D)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A.抽象性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B.多样性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C.自我中心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D.守恒性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39、学生的学习内容是以某种定论或确定的形式通过教师传授而获得，无需自己独立发现，这种学习叫做(A)</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A.接受学习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B.发现学习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C.意义学习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D.机械学习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40、学生吃了糖以后接着吃橘子。会觉得橘子特别酸。这种现象属于(B)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A.感觉适应</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B.感觉对比</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C.联想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D.不同感觉相互作用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41、在马斯洛需要层次理论中，社会交往需要属于(B)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A.生理与安全的需要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B.爱与归属的需要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C.求知与审美的需要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D.自我实现的需要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42、短时记忆的容量有一定的限度。通常是(A)</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A.7±2个组快</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B.8±2个组快</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C.9±2个组快</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D.10±2个组快</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43、某学生受到老师批评后，把怒气和不满情绪发泄到同学身上，这种行为体现了学生情绪的(A)</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A.转移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B.反向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C.文饰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D.投射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44、由于遗忘进程是先快后慢，所以我们要(B)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A.复习方式多样化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B.及时复习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C.降低干扰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D.集中、分散复习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45、根据《教育法》规定，学校自主管理的基本依据是(C)</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A.法律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B.征服规章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C.学校章程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D.学校规章制度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46、《教育法》规定，学校及其他教育机构在不影响正常教育教育活动的情况下，积极参加当地的(D)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A.勤工俭学活动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B.社会经济活动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C.服务社会活动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D.社会公益活动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47、初中教师李某不准上课迟到的学生到教室上课。让他们到办公室罚站(C)</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A.合法。教师有管理学生的权利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B.合法。教师有教育学生的职责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C.不合法。侵犯了学生的受教育权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D.不合法，侵犯了学生的人身权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48、《义务教育法》规定。在民族地区和边远贫困地区工作的教师享有(C)</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A.特殊岗位补助津贴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B.生活补助津贴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C.艰苦贫困地区补助津贴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D.特殊奉献补助津贴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49、小学黄老师让未完成家庭作业的学生在上课时站在教室的最后一排，黄老师做法(B)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A.是激发学生的有效手段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B.有利于督促学生学习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C.侵犯了学生的人格尊严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D.侵犯了学生的受教育权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50、《教师法》规定，在教师聘任中，学校和教师之间的权利、义务和责任由(B)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A.学校确定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B.学校与教师签订聘任合同确定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C.学校和教育工会规定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D.教育行政部门规定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51、《教师法》规定。取得教师资格的人员在首次任教时。应当有(C)</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A.实习期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B.见习期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C.试用期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D.服务期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52、《未成年人保护法》规定、学校、幼儿园、托儿所和公共场所发生突发事件时。应当(B)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A.优先救护女性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B.优先救护未成年人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C.优先救护老年人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D.优先救护残疾人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53、《国家中长期教育改革和发展规划纲要(2010-2020)》提出，衡量教育的标准是(D)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A.增强就业能力、满足社会需要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B.德智体全面发展、实现人的现代化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C.促进毕业生就业、提高人力资源质量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D.促进人的全面发展、适应社会需要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54、《国家中长期教育改革和发展规划纲要(2010-2020)》提出，学校一切工作的出发点和落脚点是(B)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A.实施素质教育</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B.促进学生健康成长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C.实施教育均衡发展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D.提高教育质量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55、《国家中长期教育改革和发展规划纲要(2010-2020)》提出，教师考核、聘任(聘用)和评价的首要内容是(B)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A.业务能力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B.师德表现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C.工作业绩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D.学术水平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56、《国家中长期教育改革和发展规划纲要(2010-2020)》提出，对中小学教会的全员培训为(C)</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A.每二年一周期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B.每三年一周期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57、《国家中长期教育改革和发展规划纲要(2010-2020)》提出，神话课程与教学方法改革，推行(D)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A.合班教学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B.小班教学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C.中班教学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D.大班教学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58、某初中教师要求学生购买自己编写的课程学习辅导资料，该教师的行为违反了下列哪一项教师职业道德规范(D)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A.爱岗敬业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B.关爱学生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C.教书育人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D.为人师表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59、胡老师只以考试成绩作为学生评优的条件。胡老师的做法，违反了下列哪一教师职业道德规范?(C)</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A.爱岗敬业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B.关爱学生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C.教书育人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D.为人师表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60、“拓宽知识视野，更新知识结构”是下列哪一教师职业道德规范的要求?(D)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A.遵纪守法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B.爱岗敬业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C.为人师表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D.终身学习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二、多项选择题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61、教育目的的功能有(ACD)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A.导向功能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B.强制功能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C.调控功能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D.评价功能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62、根据课程任务，课程可以分为(ACD)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A.基础性课程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B.必修课程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C.研究性课程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D.拓展型课程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63、班级管理的模式有(ABD)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A.常规管理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B.平行管理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C.分散管理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D.民主管理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64、学校教育与家族教育相互配合的方法有(ABCD)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A.互访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B.民主评议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C.家长会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D.家长委员会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65、下列选项中，属于学习的内在动机有(AB)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A.为求知欲望而学习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B.为学习兴趣而学习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C.为同学的尊重而学习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D.为老师的表扬而学习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66、下列选项中，对学习概念的理解不正确的有(ABD)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A.学习不一定会导致行为或行为潜能的变化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B.学习引起的行为变化是短暂的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C.学习是由练习或经验引起的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D.学习是人类和动物共有的一种现象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67、下列选项中，属于程序性知识的由(BCD)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A.圆的性质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B.解题策略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C.记忆方法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D.勾股定律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68、下列选项中，属于元认知策略的有(CD)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A.复述策略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B.解题策略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C.调节策略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D.监视策略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69、《教师法》规定，教师可以行使的权利有(ABCD)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A.评定学生的品行和学业成绩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B.关心、爱护全体学生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C.寒暑假期带薪休假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D.参与学校的民主管理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70、在中小学教师职业道德规范中。“关爱学生”的具体要求是(ABCD)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A.关心爱护全体学生、尊重学生人格、平等公正对待学生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B.对学生严慈相济，做学生的良师益友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C.保护学生安全、关心学生健康、维护学生权益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D.不得敷衍塞责学生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三、简答题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1、选择和运用教学方法的依据有哪些?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(1)教学目的和任务要求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(2)课程性质和教材特点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(3)学生特点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2、促进学生学习迁移的教学措施有哪些?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(1)精选教材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(2)合理安排教学内容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3)合理安排教学程序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(4)教授学习策略，提高迁移意识性。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四、案例分析题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王凯是一个对上网非常痴迷的孩子，他爸爸由于工作需要买了一台电脑在家中上网，他同爸爸一起玩，父母也没有表示反对，到后来，他发展到每天起来后就去上网，连中午、晚上休息时间也不放过，王凯俨然成了一个名副其实的“网虫”，沉迷于互联网上紧张、激烈的游戏和无拘无束的晚上聊天而无法自拔。</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班主任老师了解这一情况后并没有全盘否定他的上网行为，而是与他聊了互联网，聊了比尔盖茨，充分肯定了他上网学习电脑技术的积极性，并通过交流进一步了解他的内心世界。针对他的情况。老师采取了一系列措施：第一。鼓励他多参加集体活动，加强与同学的交流。例如：让他担任小组长，每天收发、检查作业，在劳动值日中，协调合作。建立互帮互助的关系。第二，针对他喜欢的电脑特点，成立了计算机兴趣小组。并让他担任组长。定期给其他同学讲解互联网知识。第三。利用各种机会表扬他，与他沟通。缩短师生之间的距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王凯对自己有了信心，。在各方面有了明显的进步，课堂上认真听讲。积极思考，大胆发言，提出自己的建议。在班级工作中为老师出谋划策，有活抢着干，任课老师都反映王凯像变了一个人似的。精神面貌焕然一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结合案例回答：</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班主任张老师对王凯的教育中体现了哪些德育原则。运用了哪些德育方法?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材料所体现的德育原则为：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(1)疏导性原则。疏导原则是指进行德育要循循善诱、以理服人。从提高学生认识入手。调动学生的主动性，使他们积极向上，。老师面对学生的网络依赖行为，并没有简单粗暴、一味打压，而是通过聊天的形式引导他对计算机产生正面的认识，调动了他对计算机知识的学习积极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(2)依靠积极因素，克服消极因素。德育工作中，教育者要善于依靠、发扬学生自身的积极因素，调动学生自我教育的积极性，克服消极因素。老师充分利用学生对计算机的浓厚兴趣这一积极因素，激发了学生的自信心与学习动机，从而使学生克服了自身的消极因素，精神面貌焕然一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(3)因材施教。因材施教原则是指进行德育要从学生的思想认识和品德发展的实际出发，根据他们的年龄特征和个性差异进行不同的教育，使每个学生的品德都能得到更好的发展。老师在对学生进行教育中，抓住了学生的个性因素，从学生自身实际出发，选择了适合该学生的教育方法，收到了良好的效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材料中所体现的德育方法为：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(1)说服教育法。说服教育法是通过摆事实、讲道理，使学生提高认识、形成正确观点的方法。材料中的教师通过与学生的聊天方法帮助学生形成了对计算机的正确认识。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(2)品德评价法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品德评价法是指通过对学生品德进行肯定或否定的评价而予以激励或抑郁，促使其品德健康形成和发展。教师利用各种机会表扬学生就是通过肯定学生的言行从而对学生产生激励作用。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(3)实践锻炼法。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实践锻炼法是指教师指导学生参加各种实践互动，以形成一定的道德品质和行为习惯的方法。教师鼓励学生多参加集体活动，开设计算机兴趣小组。给学生提供了大量的实践活动的机会。从而使学生在实际锻炼中提高了个人的道德水平。</w:t>
      </w:r>
    </w:p>
    <w:p>
      <w:pPr>
        <w:keepNext w:val="0"/>
        <w:keepLines w:val="0"/>
        <w:pageBreakBefore w:val="0"/>
        <w:kinsoku/>
        <w:wordWrap/>
        <w:overflowPunct/>
        <w:topLinePunct w:val="0"/>
        <w:autoSpaceDE/>
        <w:autoSpaceDN/>
        <w:bidi w:val="0"/>
        <w:adjustRightInd/>
        <w:snapToGrid/>
        <w:spacing w:beforeAutospacing="0" w:afterAutospacing="0" w:line="15" w:lineRule="auto"/>
        <w:ind w:left="0" w:leftChars="0" w:right="0" w:rightChars="0" w:firstLine="0" w:firstLineChars="0"/>
        <w:jc w:val="both"/>
        <w:textAlignment w:val="auto"/>
        <w:outlineLvl w:val="9"/>
        <w:rPr>
          <w:rFonts w:hint="eastAsia" w:ascii="微软雅黑" w:hAnsi="微软雅黑" w:eastAsia="微软雅黑" w:cs="微软雅黑"/>
          <w:b w:val="0"/>
          <w:i w:val="0"/>
          <w:caps w:val="0"/>
          <w:color w:val="222222"/>
          <w:spacing w:val="0"/>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7454265"/>
          <wp:effectExtent l="0" t="0" r="0" b="0"/>
          <wp:wrapNone/>
          <wp:docPr id="1" name="WordPictureWatermark11997"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1997" descr="水印"/>
                  <pic:cNvPicPr>
                    <a:picLocks noChangeAspect="1"/>
                  </pic:cNvPicPr>
                </pic:nvPicPr>
                <pic:blipFill>
                  <a:blip r:embed="rId1">
                    <a:lum bright="69998" contrast="-70001"/>
                  </a:blip>
                  <a:stretch>
                    <a:fillRect/>
                  </a:stretch>
                </pic:blipFill>
                <pic:spPr>
                  <a:xfrm>
                    <a:off x="0" y="0"/>
                    <a:ext cx="5274310" cy="74542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6580E"/>
    <w:rsid w:val="474658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2017-12-06T08:48:00Z</dcterms:created>
  <dc:creator>minzhicong</dc:creator>
  <cp:lastModifiedBy>minzhicong</cp:lastModifiedBy>
  <dcterms:modified xsi:type="dcterms:W3CDTF">2017-12-06T08:53:26Z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