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2019考研数学线性代数—二次型（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center"/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  <w:t>来源：文都教育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二次型化为标准型的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方法主要有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两个方法：正交变换法、配方法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.上次我们主要介绍了正交变换法，下面我们将介绍另一种方法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-配方法，配方法虽然并非大题常用考法，但是对于某些题目却又奇效.为介绍配方法，以题为例.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  <w:t>配方法化标准型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  <w:t>（1）有平方项</w:t>
      </w:r>
    </w:p>
    <w:p>
      <w:pPr>
        <w:spacing w:line="300" w:lineRule="auto"/>
        <w:ind w:firstLine="422" w:firstLineChars="200"/>
        <w:rPr>
          <w:rFonts w:hint="eastAsia" w:ascii="仿宋" w:hAnsi="仿宋" w:eastAsia="仿宋" w:cs="仿宋"/>
          <w:b/>
          <w:bCs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Cs w:val="21"/>
          <w:lang w:eastAsia="zh-CN"/>
        </w:rPr>
        <w:t>例</w:t>
      </w:r>
      <w:r>
        <w:rPr>
          <w:rFonts w:hint="eastAsia" w:ascii="仿宋" w:hAnsi="仿宋" w:eastAsia="仿宋" w:cs="仿宋"/>
          <w:b/>
          <w:bCs/>
          <w:color w:val="000000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Cs w:val="21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Cs w:val="21"/>
          <w:lang w:val="en-US" w:eastAsia="zh-CN"/>
        </w:rPr>
        <w:t>2018-改</w:t>
      </w:r>
      <w:r>
        <w:rPr>
          <w:rFonts w:hint="eastAsia" w:ascii="仿宋" w:hAnsi="仿宋" w:eastAsia="仿宋" w:cs="仿宋"/>
          <w:b/>
          <w:bCs/>
          <w:color w:val="000000"/>
          <w:szCs w:val="21"/>
        </w:rPr>
        <w:t>）</w:t>
      </w:r>
      <w:r>
        <w:rPr>
          <w:rFonts w:hint="eastAsia" w:ascii="仿宋" w:hAnsi="仿宋" w:eastAsia="仿宋" w:cs="仿宋"/>
          <w:color w:val="000000"/>
          <w:szCs w:val="21"/>
        </w:rPr>
        <w:t>设实二次型</w:t>
      </w:r>
      <w:r>
        <w:rPr>
          <w:rFonts w:hint="eastAsia" w:ascii="仿宋" w:hAnsi="仿宋" w:eastAsia="仿宋" w:cs="仿宋"/>
          <w:position w:val="-12"/>
          <w:szCs w:val="22"/>
        </w:rPr>
        <w:object>
          <v:shape id="_x0000_i1025" o:spt="75" type="#_x0000_t75" style="height:18.75pt;width:255.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Cs w:val="21"/>
        </w:rPr>
        <w:t xml:space="preserve"> 其中</w:t>
      </w:r>
      <w:r>
        <w:rPr>
          <w:rFonts w:hint="eastAsia" w:ascii="仿宋" w:hAnsi="仿宋" w:eastAsia="仿宋" w:cs="仿宋"/>
          <w:position w:val="-6"/>
          <w:szCs w:val="22"/>
        </w:rPr>
        <w:object>
          <v:shape id="_x0000_i1026" o:spt="75" type="#_x0000_t75" style="height:10.5pt;width:10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Cs w:val="21"/>
        </w:rPr>
        <w:t>是参数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Cs w:val="21"/>
        </w:rPr>
        <w:t>求</w:t>
      </w:r>
      <w:r>
        <w:rPr>
          <w:rFonts w:hint="eastAsia" w:ascii="仿宋" w:hAnsi="仿宋" w:eastAsia="仿宋" w:cs="仿宋"/>
          <w:position w:val="-12"/>
          <w:szCs w:val="22"/>
        </w:rPr>
        <w:object>
          <v:shape id="_x0000_i1027" o:spt="75" type="#_x0000_t75" style="height:18pt;width:59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Cs w:val="21"/>
        </w:rPr>
        <w:t>的规范形.</w:t>
      </w:r>
    </w:p>
    <w:p>
      <w:pPr>
        <w:spacing w:line="300" w:lineRule="auto"/>
        <w:rPr>
          <w:rFonts w:hint="eastAsia" w:ascii="仿宋" w:hAnsi="仿宋" w:eastAsia="仿宋" w:cs="仿宋"/>
          <w:b/>
          <w:bCs/>
          <w:i w:val="0"/>
          <w:iCs w:val="0"/>
          <w:positio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2"/>
          <w:lang w:eastAsia="zh-CN"/>
        </w:rPr>
        <w:t>解：</w:t>
      </w:r>
      <w:r>
        <w:rPr>
          <w:rFonts w:hint="eastAsia" w:ascii="仿宋" w:hAnsi="仿宋" w:eastAsia="仿宋" w:cs="仿宋"/>
          <w:b/>
          <w:bCs/>
          <w:i w:val="0"/>
          <w:iCs w:val="0"/>
          <w:position w:val="-12"/>
          <w:sz w:val="21"/>
          <w:szCs w:val="21"/>
          <w:lang w:val="en-US" w:eastAsia="zh-CN"/>
        </w:rPr>
        <w:object>
          <v:shape id="_x0000_i1028" o:spt="75" type="#_x0000_t75" style="height:19pt;width:22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</w:p>
    <w:p>
      <w:pPr>
        <w:numPr>
          <w:ilvl w:val="0"/>
          <w:numId w:val="0"/>
        </w:numPr>
        <w:spacing w:line="300" w:lineRule="auto"/>
        <w:rPr>
          <w:rFonts w:hint="eastAsia" w:ascii="仿宋" w:hAnsi="仿宋" w:eastAsia="仿宋" w:cs="仿宋"/>
          <w:b/>
          <w:bCs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Cs w:val="22"/>
          <w:lang w:eastAsia="zh-CN"/>
        </w:rPr>
        <w:t>法一：</w:t>
      </w:r>
    </w:p>
    <w:p>
      <w:pPr>
        <w:numPr>
          <w:ilvl w:val="0"/>
          <w:numId w:val="0"/>
        </w:numPr>
        <w:spacing w:line="300" w:lineRule="auto"/>
        <w:ind w:firstLine="420" w:firstLineChars="200"/>
        <w:rPr>
          <w:rFonts w:hint="eastAsia" w:ascii="仿宋" w:hAnsi="仿宋" w:eastAsia="仿宋" w:cs="仿宋"/>
          <w:b/>
          <w:bCs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Cs w:val="22"/>
          <w:lang w:val="en-US" w:eastAsia="zh-CN"/>
        </w:rPr>
        <w:t>1）</w:t>
      </w:r>
      <w:r>
        <w:rPr>
          <w:rFonts w:hint="eastAsia" w:ascii="仿宋" w:hAnsi="仿宋" w:eastAsia="仿宋" w:cs="仿宋"/>
          <w:b/>
          <w:bCs/>
          <w:szCs w:val="22"/>
          <w:lang w:eastAsia="zh-CN"/>
        </w:rPr>
        <w:t>合并所有含</w:t>
      </w:r>
      <w:r>
        <w:rPr>
          <w:rFonts w:hint="eastAsia" w:ascii="仿宋" w:hAnsi="仿宋" w:eastAsia="仿宋" w:cs="仿宋"/>
          <w:b/>
          <w:bCs/>
          <w:position w:val="-10"/>
          <w:szCs w:val="22"/>
          <w:lang w:eastAsia="zh-CN"/>
        </w:rPr>
        <w:object>
          <v:shape id="_x0000_i1029" o:spt="75" type="#_x0000_t75" style="height:17pt;width:12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仿宋" w:hAnsi="仿宋" w:eastAsia="仿宋" w:cs="仿宋"/>
          <w:b/>
          <w:bCs/>
          <w:szCs w:val="22"/>
          <w:lang w:eastAsia="zh-CN"/>
        </w:rPr>
        <w:t>的项，并配方：</w:t>
      </w:r>
    </w:p>
    <w:p>
      <w:pPr>
        <w:numPr>
          <w:ilvl w:val="0"/>
          <w:numId w:val="0"/>
        </w:numPr>
        <w:spacing w:line="300" w:lineRule="auto"/>
        <w:jc w:val="center"/>
        <w:rPr>
          <w:rFonts w:hint="eastAsia" w:ascii="仿宋" w:hAnsi="仿宋" w:eastAsia="仿宋" w:cs="仿宋"/>
          <w:b/>
          <w:bCs/>
          <w:i w:val="0"/>
          <w:iCs w:val="0"/>
          <w:positio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position w:val="-122"/>
          <w:sz w:val="21"/>
          <w:szCs w:val="21"/>
          <w:lang w:val="en-US" w:eastAsia="zh-CN"/>
        </w:rPr>
        <w:object>
          <v:shape id="_x0000_i1030" o:spt="75" type="#_x0000_t75" style="height:105pt;width:390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</w:p>
    <w:p>
      <w:pPr>
        <w:numPr>
          <w:ilvl w:val="0"/>
          <w:numId w:val="0"/>
        </w:numPr>
        <w:spacing w:line="300" w:lineRule="auto"/>
        <w:ind w:firstLine="420" w:firstLineChars="200"/>
        <w:rPr>
          <w:rFonts w:hint="eastAsia" w:ascii="仿宋" w:hAnsi="仿宋" w:eastAsia="仿宋" w:cs="仿宋"/>
          <w:szCs w:val="22"/>
        </w:rPr>
      </w:pPr>
      <w:r>
        <w:rPr>
          <w:rFonts w:hint="eastAsia" w:ascii="仿宋" w:hAnsi="仿宋" w:eastAsia="仿宋" w:cs="仿宋"/>
          <w:b w:val="0"/>
          <w:bCs w:val="0"/>
          <w:szCs w:val="22"/>
          <w:lang w:val="en-US" w:eastAsia="zh-CN"/>
        </w:rPr>
        <w:t>2）</w:t>
      </w:r>
      <w:r>
        <w:rPr>
          <w:rFonts w:hint="eastAsia" w:ascii="仿宋" w:hAnsi="仿宋" w:eastAsia="仿宋" w:cs="仿宋"/>
          <w:b/>
          <w:bCs/>
          <w:szCs w:val="22"/>
          <w:lang w:eastAsia="zh-CN"/>
        </w:rPr>
        <w:t>再合并所有含</w:t>
      </w:r>
      <w:r>
        <w:rPr>
          <w:rFonts w:hint="eastAsia" w:ascii="仿宋" w:hAnsi="仿宋" w:eastAsia="仿宋" w:cs="仿宋"/>
          <w:b/>
          <w:bCs/>
          <w:position w:val="-10"/>
          <w:szCs w:val="22"/>
          <w:lang w:eastAsia="zh-CN"/>
        </w:rPr>
        <w:object>
          <v:shape id="_x0000_i1031" o:spt="75" type="#_x0000_t75" style="height:17pt;width:13.9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 w:ascii="仿宋" w:hAnsi="仿宋" w:eastAsia="仿宋" w:cs="仿宋"/>
          <w:b/>
          <w:bCs/>
          <w:szCs w:val="22"/>
          <w:lang w:eastAsia="zh-CN"/>
        </w:rPr>
        <w:t>的项，并配方：</w:t>
      </w:r>
      <w:r>
        <w:rPr>
          <w:rFonts w:hint="eastAsia" w:ascii="仿宋" w:hAnsi="仿宋" w:eastAsia="仿宋" w:cs="仿宋"/>
          <w:b/>
          <w:bCs/>
          <w:i w:val="0"/>
          <w:iCs w:val="0"/>
          <w:position w:val="-36"/>
          <w:sz w:val="21"/>
          <w:szCs w:val="21"/>
          <w:lang w:val="en-US" w:eastAsia="zh-CN"/>
        </w:rPr>
        <w:object>
          <v:shape id="_x0000_i1032" o:spt="75" type="#_x0000_t75" style="height:42pt;width:24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right="0" w:rightChars="0" w:firstLine="420" w:firstLineChars="200"/>
        <w:jc w:val="both"/>
        <w:textAlignment w:val="center"/>
        <w:outlineLvl w:val="9"/>
        <w:rPr>
          <w:rFonts w:hint="eastAsia" w:ascii="仿宋" w:hAnsi="仿宋" w:eastAsia="仿宋" w:cs="仿宋"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Cs w:val="22"/>
          <w:lang w:val="en-US" w:eastAsia="zh-CN"/>
        </w:rPr>
        <w:t>3)</w:t>
      </w:r>
      <w:r>
        <w:rPr>
          <w:rFonts w:hint="eastAsia" w:ascii="仿宋" w:hAnsi="仿宋" w:eastAsia="仿宋" w:cs="仿宋"/>
          <w:b/>
          <w:bCs/>
          <w:szCs w:val="22"/>
          <w:lang w:eastAsia="zh-CN"/>
        </w:rPr>
        <w:t>作非退化的线性变换</w:t>
      </w:r>
      <w:r>
        <w:rPr>
          <w:rFonts w:hint="eastAsia" w:ascii="仿宋" w:hAnsi="仿宋" w:eastAsia="仿宋" w:cs="仿宋"/>
          <w:szCs w:val="22"/>
          <w:lang w:eastAsia="zh-CN"/>
        </w:rPr>
        <w:object>
          <v:shape id="_x0000_i1033" o:spt="75" type="#_x0000_t75" style="height:84.3pt;width:91.4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  <w:lang w:eastAsia="zh-CN"/>
        </w:rPr>
        <w:t>, 可得</w:t>
      </w:r>
      <w:r>
        <w:rPr>
          <w:rFonts w:hint="eastAsia" w:ascii="仿宋" w:hAnsi="仿宋" w:eastAsia="仿宋" w:cs="仿宋"/>
          <w:szCs w:val="22"/>
          <w:lang w:eastAsia="zh-CN"/>
        </w:rPr>
        <w:object>
          <v:shape id="_x0000_i1034" o:spt="75" type="#_x0000_t75" style="height:30.6pt;width:73.1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Cs w:val="22"/>
          <w:lang w:val="en-US" w:eastAsia="zh-CN"/>
        </w:rPr>
        <w:t>(标准型）</w:t>
      </w:r>
    </w:p>
    <w:p>
      <w:pPr>
        <w:spacing w:line="300" w:lineRule="auto"/>
        <w:ind w:firstLine="420" w:firstLineChars="200"/>
        <w:jc w:val="left"/>
        <w:rPr>
          <w:rFonts w:hint="eastAsia" w:ascii="仿宋" w:hAnsi="仿宋" w:eastAsia="仿宋" w:cs="仿宋"/>
          <w:szCs w:val="22"/>
        </w:rPr>
      </w:pPr>
      <w:r>
        <w:rPr>
          <w:rFonts w:hint="eastAsia" w:ascii="仿宋" w:hAnsi="仿宋" w:eastAsia="仿宋" w:cs="仿宋"/>
          <w:szCs w:val="22"/>
          <w:lang w:val="en-US" w:eastAsia="zh-CN"/>
        </w:rPr>
        <w:t>4)</w:t>
      </w:r>
      <w:r>
        <w:rPr>
          <w:rFonts w:hint="eastAsia" w:ascii="仿宋" w:hAnsi="仿宋" w:eastAsia="仿宋" w:cs="仿宋"/>
          <w:szCs w:val="22"/>
        </w:rPr>
        <w:t>令</w:t>
      </w:r>
      <w:r>
        <w:rPr>
          <w:rFonts w:hint="eastAsia" w:ascii="仿宋" w:hAnsi="仿宋" w:eastAsia="仿宋" w:cs="仿宋"/>
          <w:position w:val="-76"/>
          <w:szCs w:val="22"/>
        </w:rPr>
        <w:object>
          <v:shape id="_x0000_i1035" o:spt="75" type="#_x0000_t75" style="height:82pt;width:60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</w:rPr>
        <w:t>, 得二次型的规范</w:t>
      </w:r>
      <w:r>
        <w:rPr>
          <w:rFonts w:hint="eastAsia" w:ascii="仿宋" w:hAnsi="仿宋" w:eastAsia="仿宋" w:cs="仿宋"/>
          <w:szCs w:val="22"/>
          <w:lang w:eastAsia="zh-CN"/>
        </w:rPr>
        <w:t>形</w:t>
      </w:r>
      <w:r>
        <w:rPr>
          <w:rFonts w:hint="eastAsia" w:ascii="仿宋" w:hAnsi="仿宋" w:eastAsia="仿宋" w:cs="仿宋"/>
          <w:szCs w:val="22"/>
        </w:rPr>
        <w:t>为</w:t>
      </w:r>
      <w:r>
        <w:rPr>
          <w:rFonts w:hint="eastAsia" w:ascii="仿宋" w:hAnsi="仿宋" w:eastAsia="仿宋" w:cs="仿宋"/>
          <w:position w:val="-12"/>
          <w:szCs w:val="22"/>
        </w:rPr>
        <w:object>
          <v:shape id="_x0000_i1036" o:spt="75" type="#_x0000_t75" style="height:19pt;width:56pt;" o:ole="t" filled="f" o:preferrelative="t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2"/>
          <w:lang w:eastAsia="zh-CN"/>
        </w:rPr>
        <w:t>法二：</w:t>
      </w:r>
      <w:r>
        <w:rPr>
          <w:rFonts w:hint="eastAsia" w:ascii="仿宋" w:hAnsi="仿宋" w:eastAsia="仿宋" w:cs="仿宋"/>
          <w:szCs w:val="22"/>
          <w:lang w:val="en-US" w:eastAsia="zh-CN"/>
        </w:rPr>
        <w:object>
          <v:shape id="_x0000_i1037" o:spt="75" type="#_x0000_t75" style="height:56pt;width:328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0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center"/>
        <w:outlineLvl w:val="9"/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记</w: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object>
          <v:shape id="_x0000_i1038" o:spt="75" type="#_x0000_t75" style="height:56pt;width:88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2">
            <o:LockedField>false</o:LockedField>
          </o:OLEObject>
        </w:objec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， 令</w: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object>
          <v:shape id="_x0000_i1039" o:spt="75" type="#_x0000_t75" style="height:56pt;width:246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可得：</w: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object>
          <v:shape id="_x0000_i1040" o:spt="75" type="#_x0000_t75" style="height:20pt;width:167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6">
            <o:LockedField>false</o:LockedField>
          </o:OLEObject>
        </w:objec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则标准型为</w: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object>
          <v:shape id="_x0000_i1041" o:spt="75" type="#_x0000_t75" style="height:24pt;width:139pt;" o:ole="t" filled="f" o:preferrelative="t" stroked="f" coordsize="21600,21600">
            <v:path/>
            <v:fill on="f" focussize="0,0"/>
            <v:stroke on="f"/>
            <v:imagedata r:id="rId39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；规范形为</w: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object>
          <v:shape id="_x0000_i1042" o:spt="75" type="#_x0000_t75" style="height:19pt;width:56pt;" o:ole="t" filled="f" o:preferrelative="t" stroked="f" coordsize="21600,21600">
            <v:path/>
            <v:fill on="f" focussize="0,0"/>
            <v:stroke on="f"/>
            <v:imagedata r:id="rId41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仿宋" w:hAnsi="仿宋" w:eastAsia="仿宋" w:cs="仿宋"/>
          <w:i w:val="0"/>
          <w:iCs w:val="0"/>
          <w:position w:val="-24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  <w:t>（2）没有平方项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jc w:val="both"/>
        <w:textAlignment w:val="auto"/>
        <w:outlineLvl w:val="9"/>
        <w:rPr>
          <w:rFonts w:hint="eastAsia" w:ascii="仿宋" w:hAnsi="仿宋" w:eastAsia="仿宋" w:cs="仿宋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Cs w:val="21"/>
          <w:lang w:eastAsia="zh-CN"/>
        </w:rPr>
        <w:t>例</w:t>
      </w:r>
      <w:r>
        <w:rPr>
          <w:rFonts w:hint="eastAsia" w:ascii="仿宋" w:hAnsi="仿宋" w:eastAsia="仿宋" w:cs="仿宋"/>
          <w:b/>
          <w:bCs/>
          <w:color w:val="000000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Cs w:val="21"/>
          <w:lang w:val="en-US" w:eastAsia="zh-CN"/>
        </w:rPr>
        <w:t>化二次型</w:t>
      </w:r>
      <w:r>
        <w:rPr>
          <w:rFonts w:hint="eastAsia" w:ascii="仿宋" w:hAnsi="仿宋" w:eastAsia="仿宋" w:cs="仿宋"/>
          <w:position w:val="-12"/>
          <w:szCs w:val="22"/>
          <w:lang w:eastAsia="zh-CN"/>
        </w:rPr>
        <w:object>
          <v:shape id="_x0000_i1043" o:spt="75" type="#_x0000_t75" style="height:17.8pt;width:120.3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  <w:lang w:eastAsia="zh-CN"/>
        </w:rPr>
        <w:t>为标准型</w:t>
      </w:r>
      <w:r>
        <w:rPr>
          <w:rFonts w:hint="eastAsia" w:ascii="仿宋" w:hAnsi="仿宋" w:eastAsia="仿宋" w:cs="仿宋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2"/>
          <w:lang w:val="en-US" w:eastAsia="zh-CN"/>
        </w:rPr>
        <w:t>分析：</w:t>
      </w:r>
      <w:r>
        <w:rPr>
          <w:rFonts w:hint="eastAsia" w:ascii="仿宋" w:hAnsi="仿宋" w:eastAsia="仿宋" w:cs="仿宋"/>
          <w:b w:val="0"/>
          <w:bCs w:val="0"/>
          <w:szCs w:val="22"/>
          <w:lang w:val="en-US" w:eastAsia="zh-CN"/>
        </w:rPr>
        <w:t>没有平方项，先构造平方项出来，然后再按例1方法计算即可.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解：（1）构造平方项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eastAsia" w:ascii="仿宋" w:hAnsi="仿宋" w:eastAsia="仿宋" w:cs="仿宋"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令</w:t>
      </w:r>
      <w:r>
        <w:rPr>
          <w:rFonts w:hint="eastAsia" w:ascii="仿宋" w:hAnsi="仿宋" w:eastAsia="仿宋" w:cs="仿宋"/>
          <w:position w:val="-50"/>
          <w:szCs w:val="22"/>
          <w:lang w:eastAsia="zh-CN"/>
        </w:rPr>
        <w:object>
          <v:shape id="_x0000_i1044" o:spt="75" type="#_x0000_t75" style="height:56.2pt;width:63.6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  <w:lang w:eastAsia="zh-CN"/>
        </w:rPr>
        <w:t>，带入可得：</w:t>
      </w:r>
      <w:r>
        <w:rPr>
          <w:rFonts w:hint="eastAsia" w:ascii="仿宋" w:hAnsi="仿宋" w:eastAsia="仿宋" w:cs="仿宋"/>
          <w:position w:val="-12"/>
          <w:szCs w:val="22"/>
          <w:lang w:eastAsia="zh-CN"/>
        </w:rPr>
        <w:object>
          <v:shape id="_x0000_i1045" o:spt="75" type="#_x0000_t75" style="height:18.8pt;width:150.4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43" w:firstLineChars="400"/>
        <w:rPr>
          <w:rFonts w:hint="eastAsia" w:ascii="仿宋" w:hAnsi="仿宋" w:eastAsia="仿宋" w:cs="仿宋"/>
          <w:b/>
          <w:bCs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Cs w:val="22"/>
          <w:lang w:eastAsia="zh-CN"/>
        </w:rPr>
        <w:t>按照有平方项的进行处理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rPr>
          <w:rFonts w:hint="eastAsia" w:ascii="仿宋" w:hAnsi="仿宋" w:eastAsia="仿宋" w:cs="仿宋"/>
          <w:szCs w:val="22"/>
          <w:lang w:eastAsia="zh-CN"/>
        </w:rPr>
      </w:pPr>
      <w:r>
        <w:rPr>
          <w:rFonts w:hint="eastAsia" w:ascii="仿宋" w:hAnsi="仿宋" w:eastAsia="仿宋" w:cs="仿宋"/>
          <w:position w:val="-16"/>
          <w:szCs w:val="22"/>
          <w:lang w:eastAsia="zh-CN"/>
        </w:rPr>
        <w:object>
          <v:shape id="_x0000_i1046" o:spt="75" type="#_x0000_t75" style="height:21.8pt;width:290.8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eastAsia" w:ascii="仿宋" w:hAnsi="仿宋" w:eastAsia="仿宋" w:cs="仿宋"/>
          <w:szCs w:val="22"/>
          <w:lang w:val="en-US" w:eastAsia="zh-CN"/>
        </w:rPr>
      </w:pPr>
      <w:r>
        <w:rPr>
          <w:rFonts w:hint="eastAsia" w:ascii="仿宋" w:hAnsi="仿宋" w:eastAsia="仿宋" w:cs="仿宋"/>
          <w:position w:val="-20"/>
          <w:szCs w:val="2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position w:val="-20"/>
          <w:szCs w:val="22"/>
          <w:lang w:val="en-US" w:eastAsia="zh-CN"/>
        </w:rPr>
        <w:object>
          <v:shape id="_x0000_i1047" o:spt="75" type="#_x0000_t75" style="height:26pt;width:345pt;" o:ole="t" filled="f" o:preferrelative="t" stroked="f" coordsize="21600,21600">
            <v:path/>
            <v:fill on="f" focussize="0,0"/>
            <v:stroke on="f"/>
            <v:imagedata r:id="rId51" o:title=""/>
            <o:lock v:ext="edit" aspectratio="f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2）令</w:t>
      </w:r>
      <w:r>
        <w:rPr>
          <w:rFonts w:hint="eastAsia" w:ascii="仿宋" w:hAnsi="仿宋" w:eastAsia="仿宋" w:cs="仿宋"/>
          <w:position w:val="-60"/>
          <w:szCs w:val="22"/>
        </w:rPr>
        <w:object>
          <v:shape id="_x0000_i1048" o:spt="75" type="#_x0000_t75" style="height:66pt;width:93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</w:rPr>
        <w:t>, 得二次型的规范</w:t>
      </w:r>
      <w:r>
        <w:rPr>
          <w:rFonts w:hint="eastAsia" w:ascii="仿宋" w:hAnsi="仿宋" w:eastAsia="仿宋" w:cs="仿宋"/>
          <w:szCs w:val="22"/>
          <w:lang w:eastAsia="zh-CN"/>
        </w:rPr>
        <w:t>形</w:t>
      </w:r>
      <w:r>
        <w:rPr>
          <w:rFonts w:hint="eastAsia" w:ascii="仿宋" w:hAnsi="仿宋" w:eastAsia="仿宋" w:cs="仿宋"/>
          <w:szCs w:val="22"/>
        </w:rPr>
        <w:t>为</w:t>
      </w:r>
      <w:r>
        <w:rPr>
          <w:rFonts w:hint="eastAsia" w:ascii="仿宋" w:hAnsi="仿宋" w:eastAsia="仿宋" w:cs="仿宋"/>
          <w:position w:val="-12"/>
          <w:szCs w:val="22"/>
        </w:rPr>
        <w:object>
          <v:shape id="_x0000_i1049" o:spt="75" type="#_x0000_t75" style="height:19pt;width:80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仿宋" w:hAnsi="仿宋" w:eastAsia="仿宋" w:cs="仿宋"/>
          <w:szCs w:val="22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  <w:t>配方法的妙用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eastAsia="zh-CN"/>
        </w:rPr>
        <w:t>例</w:t>
      </w: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给我们展示了二次型化为标准型的两种方法，但是我们应该注意到，使用不同方法得到的标准型是不一样的：配方法和正交变换法可得标准型分别为：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center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50" o:spt="75" type="#_x0000_t75" style="height:30.6pt;width:73.1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51" o:spt="75" type="#_x0000_t75" style="height:24pt;width:139pt;" o:ole="t" filled="f" o:preferrelative="t" stroked="f" coordsize="21600,21600">
            <v:path/>
            <v:fill on="f" focussize="0,0"/>
            <v:stroke on="f"/>
            <v:imagedata r:id="rId39" o:title=""/>
            <o:lock v:ext="edit" aspectratio="f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虽然标准型不唯一，但是标准型中正负项的个数是相同的，这个也被称为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惯性定理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.其中正向的个数是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正惯性指数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，负项的个数为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负惯性指数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.所以我们求惯性指数也有两种方法，而有些时候配方法较为简单.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center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eastAsia="zh-CN"/>
        </w:rPr>
        <w:t>例</w:t>
      </w: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3.(2014)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设二次型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52" o:spt="75" type="#_x0000_t75" style="height:18.75pt;width:180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的负惯性指数为1，则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5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的取值范围是</w:t>
      </w:r>
      <w:r>
        <w:rPr>
          <w:rFonts w:hint="eastAsia" w:ascii="仿宋" w:hAnsi="仿宋" w:eastAsia="仿宋" w:cs="仿宋"/>
          <w:b w:val="0"/>
          <w:bCs w:val="0"/>
          <w:position w:val="-10"/>
          <w:sz w:val="21"/>
          <w:szCs w:val="21"/>
          <w:highlight w:val="none"/>
          <w:lang w:val="en-US" w:eastAsia="zh-CN"/>
        </w:rPr>
        <w:object>
          <v:shape id="_x0000_i1054" o:spt="75" type="#_x0000_t75" style="height:5pt;width:41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2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解: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配方法可得：</w:t>
      </w:r>
      <w:r>
        <w:rPr>
          <w:rFonts w:hint="eastAsia" w:ascii="仿宋" w:hAnsi="仿宋" w:eastAsia="仿宋" w:cs="仿宋"/>
          <w:b w:val="0"/>
          <w:bCs w:val="0"/>
          <w:position w:val="-12"/>
          <w:sz w:val="21"/>
          <w:szCs w:val="21"/>
          <w:highlight w:val="none"/>
          <w:lang w:val="en-US" w:eastAsia="zh-CN"/>
        </w:rPr>
        <w:object>
          <v:shape id="_x0000_i1055" o:spt="75" type="#_x0000_t75" style="height:18.75pt;width:241.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因为负惯性指数是1，故</w:t>
      </w:r>
      <w:r>
        <w:rPr>
          <w:rFonts w:hint="eastAsia" w:ascii="仿宋" w:hAnsi="仿宋" w:eastAsia="仿宋" w:cs="仿宋"/>
          <w:b w:val="0"/>
          <w:bCs w:val="0"/>
          <w:position w:val="-6"/>
          <w:sz w:val="21"/>
          <w:szCs w:val="21"/>
          <w:highlight w:val="none"/>
          <w:lang w:val="en-US" w:eastAsia="zh-CN"/>
        </w:rPr>
        <w:object>
          <v:shape id="_x0000_i1056" o:spt="75" type="#_x0000_t75" style="height:16pt;width:5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6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，解得</w:t>
      </w:r>
      <w:r>
        <w:rPr>
          <w:rFonts w:hint="eastAsia" w:ascii="仿宋" w:hAnsi="仿宋" w:eastAsia="仿宋" w:cs="仿宋"/>
          <w:b w:val="0"/>
          <w:bCs w:val="0"/>
          <w:position w:val="-10"/>
          <w:sz w:val="21"/>
          <w:szCs w:val="21"/>
          <w:highlight w:val="none"/>
          <w:lang w:val="en-US" w:eastAsia="zh-CN"/>
        </w:rPr>
        <w:object>
          <v:shape id="_x0000_i1057" o:spt="75" type="#_x0000_t75" style="height:17pt;width:52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8">
            <o:LockedField>false</o:LockedField>
          </o:OLEObject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由上可知，对于本题用配方法可以迅速解出答案，而如果用正交变换法先求出特征值，然后再根据特征值符号来进行判定就没有那么容易。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因</w:t>
      </w:r>
      <w:r>
        <w:rPr>
          <w:rFonts w:hint="eastAsia" w:ascii="宋体" w:hAnsi="宋体" w:eastAsia="宋体" w:cs="宋体"/>
          <w:b w:val="0"/>
          <w:bCs w:val="0"/>
          <w:position w:val="-50"/>
          <w:sz w:val="21"/>
          <w:szCs w:val="21"/>
          <w:highlight w:val="none"/>
          <w:lang w:val="en-US" w:eastAsia="zh-CN"/>
        </w:rPr>
        <w:object>
          <v:shape id="_x0000_i1058" o:spt="75" type="#_x0000_t75" style="height:56pt;width:83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，通过</w:t>
      </w:r>
      <w:r>
        <w:rPr>
          <w:rFonts w:hint="eastAsia" w:ascii="宋体" w:hAnsi="宋体" w:eastAsia="宋体" w:cs="宋体"/>
          <w:b w:val="0"/>
          <w:bCs w:val="0"/>
          <w:position w:val="-50"/>
          <w:sz w:val="21"/>
          <w:szCs w:val="21"/>
          <w:highlight w:val="none"/>
          <w:lang w:val="en-US" w:eastAsia="zh-CN"/>
        </w:rPr>
        <w:object>
          <v:shape id="_x0000_i1059" o:spt="75" type="#_x0000_t75" style="height:56pt;width:139.95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是不易求出特征值的.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eastAsia="zh-CN"/>
        </w:rPr>
        <w:t>二次型化标准型是考研常考点，正交变换法和配方法都需要认真掌握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eastAsia="zh-CN"/>
        </w:rPr>
        <w:t>下次我们会讲解正定二次型以及正定二次型与高数的连接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val="en-US" w:eastAsia="zh-CN"/>
        </w:rPr>
        <w:t>,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在此希望能对2019考生的复习有所帮助.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最后，预祝各位考生考研成功！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  <w:p>
    <w:pPr>
      <w:pStyle w:val="5"/>
    </w:pPr>
    <w:r>
      <w:rPr>
        <w:rFonts w:hint="eastAsia"/>
      </w:rPr>
      <w:t>地址：北京市海淀区西三环北路72号世纪经贸大厦B座</w:t>
    </w:r>
  </w:p>
  <w:p>
    <w:pPr>
      <w:pStyle w:val="5"/>
    </w:pPr>
    <w:r>
      <w:rPr>
        <w:rFonts w:hint="eastAsia"/>
      </w:rPr>
      <w:t>电话：010 - 88820136  传真：010 - 88820119   网址：www.wendu.com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34785"/>
          <wp:effectExtent l="0" t="0" r="0" b="18415"/>
          <wp:wrapNone/>
          <wp:docPr id="2" name="WordPictureWatermark11708" descr="文都教育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1708" descr="文都教育水印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34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937895" cy="358140"/>
          <wp:effectExtent l="0" t="0" r="14605" b="3810"/>
          <wp:docPr id="1" name="图片 1" descr="说明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9667" b="3721"/>
                  <a:stretch>
                    <a:fillRect/>
                  </a:stretch>
                </pic:blipFill>
                <pic:spPr>
                  <a:xfrm>
                    <a:off x="0" y="0"/>
                    <a:ext cx="937895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  <w:sz w:val="21"/>
        <w:szCs w:val="21"/>
      </w:rPr>
      <w:t>世纪文都教育科技</w:t>
    </w:r>
    <w:r>
      <w:rPr>
        <w:rFonts w:hint="eastAsia"/>
        <w:sz w:val="21"/>
        <w:szCs w:val="21"/>
        <w:lang w:val="en-US" w:eastAsia="zh-CN"/>
      </w:rPr>
      <w:t>集团股份</w:t>
    </w:r>
    <w:r>
      <w:rPr>
        <w:rFonts w:hint="eastAsia"/>
        <w:sz w:val="21"/>
        <w:szCs w:val="21"/>
      </w:rPr>
      <w:t>有限公司</w:t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D447"/>
    <w:multiLevelType w:val="singleLevel"/>
    <w:tmpl w:val="5A94D44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94D738"/>
    <w:multiLevelType w:val="singleLevel"/>
    <w:tmpl w:val="5A94D73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A94D865"/>
    <w:multiLevelType w:val="singleLevel"/>
    <w:tmpl w:val="5A94D865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172A27"/>
    <w:rsid w:val="001B160E"/>
    <w:rsid w:val="002A2AD6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713CDE"/>
    <w:rsid w:val="00745FAD"/>
    <w:rsid w:val="007669C1"/>
    <w:rsid w:val="007B393F"/>
    <w:rsid w:val="007D0439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1EB4993"/>
    <w:rsid w:val="021B601A"/>
    <w:rsid w:val="02AD2068"/>
    <w:rsid w:val="02FC63DE"/>
    <w:rsid w:val="05F9670A"/>
    <w:rsid w:val="077A4B25"/>
    <w:rsid w:val="07F01A92"/>
    <w:rsid w:val="0B195B65"/>
    <w:rsid w:val="0B7E3A37"/>
    <w:rsid w:val="0BB26F40"/>
    <w:rsid w:val="0D2D0A27"/>
    <w:rsid w:val="0DC43913"/>
    <w:rsid w:val="0ED22896"/>
    <w:rsid w:val="0F156184"/>
    <w:rsid w:val="0F3E3725"/>
    <w:rsid w:val="0F5A6ED4"/>
    <w:rsid w:val="0F7157AE"/>
    <w:rsid w:val="10164926"/>
    <w:rsid w:val="102D7FBA"/>
    <w:rsid w:val="121A0CFB"/>
    <w:rsid w:val="12D85EE2"/>
    <w:rsid w:val="147D4731"/>
    <w:rsid w:val="15517791"/>
    <w:rsid w:val="163B3E42"/>
    <w:rsid w:val="181518DE"/>
    <w:rsid w:val="19702FEF"/>
    <w:rsid w:val="1A1E1CCB"/>
    <w:rsid w:val="1AD3205A"/>
    <w:rsid w:val="1C976305"/>
    <w:rsid w:val="1CCF59A6"/>
    <w:rsid w:val="1FD115A8"/>
    <w:rsid w:val="20221D09"/>
    <w:rsid w:val="20BB43DA"/>
    <w:rsid w:val="20DB0E3A"/>
    <w:rsid w:val="212E65BD"/>
    <w:rsid w:val="219D31A5"/>
    <w:rsid w:val="23A52BC4"/>
    <w:rsid w:val="23DE6250"/>
    <w:rsid w:val="24881C5A"/>
    <w:rsid w:val="252B0594"/>
    <w:rsid w:val="2646053F"/>
    <w:rsid w:val="277B79CF"/>
    <w:rsid w:val="27C80D22"/>
    <w:rsid w:val="28876E23"/>
    <w:rsid w:val="28A455B5"/>
    <w:rsid w:val="2A103815"/>
    <w:rsid w:val="2A2E4971"/>
    <w:rsid w:val="2AFC57CB"/>
    <w:rsid w:val="2BAD185D"/>
    <w:rsid w:val="2BFB2AA7"/>
    <w:rsid w:val="2C7635A3"/>
    <w:rsid w:val="2CC25DBB"/>
    <w:rsid w:val="2E811924"/>
    <w:rsid w:val="2E9662D5"/>
    <w:rsid w:val="2F397829"/>
    <w:rsid w:val="317042D9"/>
    <w:rsid w:val="31A72764"/>
    <w:rsid w:val="32C3706B"/>
    <w:rsid w:val="340E4FC9"/>
    <w:rsid w:val="3419238B"/>
    <w:rsid w:val="398C0E25"/>
    <w:rsid w:val="3997152B"/>
    <w:rsid w:val="3ADD084A"/>
    <w:rsid w:val="3C920359"/>
    <w:rsid w:val="3D123357"/>
    <w:rsid w:val="3FAF6D47"/>
    <w:rsid w:val="49123B6B"/>
    <w:rsid w:val="49756ADF"/>
    <w:rsid w:val="4D7C3C4E"/>
    <w:rsid w:val="4F3D29C3"/>
    <w:rsid w:val="512866FD"/>
    <w:rsid w:val="528D4D9B"/>
    <w:rsid w:val="52CF2459"/>
    <w:rsid w:val="545D0FFF"/>
    <w:rsid w:val="54701DFE"/>
    <w:rsid w:val="5482119A"/>
    <w:rsid w:val="552E6F23"/>
    <w:rsid w:val="57700EB0"/>
    <w:rsid w:val="588B6B2E"/>
    <w:rsid w:val="58EC0B8B"/>
    <w:rsid w:val="59F01D44"/>
    <w:rsid w:val="59FF7E10"/>
    <w:rsid w:val="5A6520FB"/>
    <w:rsid w:val="5A691C24"/>
    <w:rsid w:val="5C3A762E"/>
    <w:rsid w:val="5DC85500"/>
    <w:rsid w:val="5EA27430"/>
    <w:rsid w:val="5F146583"/>
    <w:rsid w:val="603979B3"/>
    <w:rsid w:val="6066241E"/>
    <w:rsid w:val="653C2209"/>
    <w:rsid w:val="65C32DB4"/>
    <w:rsid w:val="6956222C"/>
    <w:rsid w:val="69D11F50"/>
    <w:rsid w:val="69D64B0E"/>
    <w:rsid w:val="6CC64C0D"/>
    <w:rsid w:val="6F3C42DE"/>
    <w:rsid w:val="6F4E74BD"/>
    <w:rsid w:val="70270A2A"/>
    <w:rsid w:val="71DC6A9B"/>
    <w:rsid w:val="73F13B9F"/>
    <w:rsid w:val="75187F34"/>
    <w:rsid w:val="76842643"/>
    <w:rsid w:val="768D428E"/>
    <w:rsid w:val="78F23AA3"/>
    <w:rsid w:val="79F8377E"/>
    <w:rsid w:val="7A5A00FE"/>
    <w:rsid w:val="7B673545"/>
    <w:rsid w:val="7E9C5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60" w:after="260"/>
      <w:ind w:firstLine="600" w:firstLineChars="200"/>
      <w:jc w:val="center"/>
      <w:outlineLvl w:val="3"/>
    </w:pPr>
    <w:rPr>
      <w:rFonts w:ascii="Arial" w:hAnsi="Arial" w:eastAsia="宋体" w:cs="Times New Roman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7">
    <w:name w:val="标题 41"/>
    <w:next w:val="16"/>
    <w:qFormat/>
    <w:uiPriority w:val="0"/>
    <w:pPr>
      <w:keepNext/>
      <w:keepLines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80" w:beforeAutospacing="0" w:after="290" w:afterAutospacing="0" w:line="374" w:lineRule="auto"/>
      <w:ind w:left="0" w:right="0" w:firstLine="0"/>
      <w:jc w:val="both"/>
      <w:outlineLvl w:val="3"/>
    </w:pPr>
    <w:rPr>
      <w:rFonts w:ascii="Arial" w:hAnsi="Arial" w:eastAsia="Arial Unicode MS" w:cs="Arial Unicode MS"/>
      <w:b/>
      <w:bCs/>
      <w:color w:val="000000"/>
      <w:spacing w:val="0"/>
      <w:w w:val="10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customStyle="1" w:styleId="18">
    <w:name w:val="称呼1"/>
    <w:next w:val="16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19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2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6" Type="http://schemas.openxmlformats.org/officeDocument/2006/relationships/fontTable" Target="fontTable.xml"/><Relationship Id="rId75" Type="http://schemas.openxmlformats.org/officeDocument/2006/relationships/numbering" Target="numbering.xml"/><Relationship Id="rId74" Type="http://schemas.openxmlformats.org/officeDocument/2006/relationships/customXml" Target="../customXml/item1.xml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3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oleObject" Target="embeddings/oleObject27.bin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391</Characters>
  <Lines>15</Lines>
  <Paragraphs>4</Paragraphs>
  <ScaleCrop>false</ScaleCrop>
  <LinksUpToDate>false</LinksUpToDate>
  <CharactersWithSpaces>901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2015-03-05T07:36:00Z</dcterms:created>
  <dc:creator>Windows</dc:creator>
  <cp:lastModifiedBy>命运G</cp:lastModifiedBy>
  <cp:lastPrinted>2016-06-21T07:28:00Z</cp:lastPrinted>
  <dcterms:modified xsi:type="dcterms:W3CDTF">2018-03-27T08:33:23Z</dcterms:modified>
  <dc:title>例会抽查表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